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524AF" w14:textId="77777777" w:rsidR="003A28B8" w:rsidRDefault="00000000">
      <w:r>
        <w:rPr>
          <w:rFonts w:ascii="Georgia" w:eastAsia="Georgia" w:hAnsi="Georgia" w:cs="Georgia"/>
          <w:b/>
          <w:bCs/>
          <w:spacing w:val="-10"/>
          <w:sz w:val="52"/>
          <w:szCs w:val="52"/>
        </w:rPr>
        <w:t>Nate Lawson</w:t>
      </w:r>
    </w:p>
    <w:p w14:paraId="579D49E1" w14:textId="77777777" w:rsidR="003A28B8" w:rsidRDefault="00000000">
      <w:pPr>
        <w:spacing w:after="100"/>
      </w:pPr>
      <w:r>
        <w:rPr>
          <w:b/>
          <w:bCs/>
          <w:color w:val="B58A00"/>
          <w:spacing w:val="60"/>
          <w:sz w:val="22"/>
          <w:szCs w:val="22"/>
        </w:rPr>
        <w:t>DMD, PhD</w:t>
      </w:r>
    </w:p>
    <w:p w14:paraId="482823B1" w14:textId="77777777" w:rsidR="003A28B8" w:rsidRDefault="00000000">
      <w:pPr>
        <w:spacing w:after="30"/>
      </w:pPr>
      <w:r>
        <w:t xml:space="preserve">Tenured </w:t>
      </w:r>
      <w:proofErr w:type="gramStart"/>
      <w:r>
        <w:t>Professor  ·</w:t>
      </w:r>
      <w:proofErr w:type="gramEnd"/>
      <w:r>
        <w:t xml:space="preserve">  Director, Division of Biomaterials</w:t>
      </w:r>
    </w:p>
    <w:p w14:paraId="46EE06CE" w14:textId="77777777" w:rsidR="003A28B8" w:rsidRDefault="00000000">
      <w:pPr>
        <w:spacing w:after="140"/>
      </w:pPr>
      <w:r>
        <w:rPr>
          <w:color w:val="5A5A5A"/>
        </w:rPr>
        <w:t>University of Alabama at Birmingham School of Dentistry</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3A28B8" w14:paraId="5DC01FF9" w14:textId="77777777">
        <w:tblPrEx>
          <w:tblCellMar>
            <w:top w:w="0" w:type="dxa"/>
            <w:bottom w:w="0" w:type="dxa"/>
          </w:tblCellMar>
        </w:tblPrEx>
        <w:tc>
          <w:tcPr>
            <w:tcW w:w="10080" w:type="dxa"/>
            <w:shd w:val="clear" w:color="auto" w:fill="F2F4F3"/>
            <w:tcMar>
              <w:top w:w="120" w:type="dxa"/>
              <w:left w:w="180" w:type="dxa"/>
              <w:bottom w:w="120" w:type="dxa"/>
              <w:right w:w="180" w:type="dxa"/>
            </w:tcMar>
          </w:tcPr>
          <w:p w14:paraId="3487EDF2" w14:textId="77777777" w:rsidR="003A28B8" w:rsidRDefault="00000000">
            <w:r>
              <w:rPr>
                <w:sz w:val="19"/>
                <w:szCs w:val="19"/>
              </w:rPr>
              <w:t>nlawson@uab.edu</w:t>
            </w:r>
            <w:r>
              <w:rPr>
                <w:color w:val="A9B2AD"/>
                <w:sz w:val="19"/>
                <w:szCs w:val="19"/>
              </w:rPr>
              <w:t xml:space="preserve">    ·    </w:t>
            </w:r>
            <w:r>
              <w:rPr>
                <w:sz w:val="19"/>
                <w:szCs w:val="19"/>
              </w:rPr>
              <w:t>219-789-2448</w:t>
            </w:r>
            <w:r>
              <w:rPr>
                <w:color w:val="A9B2AD"/>
                <w:sz w:val="19"/>
                <w:szCs w:val="19"/>
              </w:rPr>
              <w:t xml:space="preserve">    ·    </w:t>
            </w:r>
            <w:r>
              <w:rPr>
                <w:sz w:val="19"/>
                <w:szCs w:val="19"/>
              </w:rPr>
              <w:t>drnatelawson.com</w:t>
            </w:r>
            <w:r>
              <w:rPr>
                <w:color w:val="A9B2AD"/>
                <w:sz w:val="19"/>
                <w:szCs w:val="19"/>
              </w:rPr>
              <w:t xml:space="preserve">    ·    </w:t>
            </w:r>
            <w:r>
              <w:rPr>
                <w:sz w:val="19"/>
                <w:szCs w:val="19"/>
              </w:rPr>
              <w:t>@dentinaltube</w:t>
            </w:r>
            <w:r>
              <w:rPr>
                <w:color w:val="A9B2AD"/>
                <w:sz w:val="19"/>
                <w:szCs w:val="19"/>
              </w:rPr>
              <w:t xml:space="preserve">    ·    </w:t>
            </w:r>
            <w:r>
              <w:rPr>
                <w:color w:val="5A5A5A"/>
                <w:sz w:val="19"/>
                <w:szCs w:val="19"/>
              </w:rPr>
              <w:t>Birmingham, AL</w:t>
            </w:r>
          </w:p>
        </w:tc>
      </w:tr>
    </w:tbl>
    <w:p w14:paraId="2E97831A" w14:textId="77777777" w:rsidR="003A28B8" w:rsidRDefault="003A28B8">
      <w:pPr>
        <w:spacing w:after="15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940"/>
        <w:gridCol w:w="137"/>
        <w:gridCol w:w="2433"/>
        <w:gridCol w:w="137"/>
        <w:gridCol w:w="2433"/>
      </w:tblGrid>
      <w:tr w:rsidR="008A437F" w14:paraId="0282A15C" w14:textId="77777777">
        <w:tblPrEx>
          <w:tblCellMar>
            <w:top w:w="0" w:type="dxa"/>
            <w:bottom w:w="0" w:type="dxa"/>
          </w:tblCellMar>
        </w:tblPrEx>
        <w:tc>
          <w:tcPr>
            <w:tcW w:w="3240" w:type="dxa"/>
            <w:tcMar>
              <w:top w:w="0" w:type="dxa"/>
              <w:left w:w="0" w:type="dxa"/>
              <w:bottom w:w="0" w:type="dxa"/>
              <w:right w:w="0" w:type="dxa"/>
            </w:tcMar>
          </w:tcPr>
          <w:p w14:paraId="058D48A7" w14:textId="5E266CAE" w:rsidR="003A28B8" w:rsidRDefault="008A437F">
            <w:r>
              <w:rPr>
                <w:noProof/>
              </w:rPr>
              <w:drawing>
                <wp:inline distT="0" distB="0" distL="0" distR="0" wp14:anchorId="03243FFB" wp14:editId="7460CF29">
                  <wp:extent cx="3137483" cy="2091654"/>
                  <wp:effectExtent l="0" t="0" r="0" b="4445"/>
                  <wp:docPr id="1308083118"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83118" name="Picture 1" descr="A person in a su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7804" cy="2111868"/>
                          </a:xfrm>
                          <a:prstGeom prst="rect">
                            <a:avLst/>
                          </a:prstGeom>
                        </pic:spPr>
                      </pic:pic>
                    </a:graphicData>
                  </a:graphic>
                </wp:inline>
              </w:drawing>
            </w:r>
          </w:p>
        </w:tc>
        <w:tc>
          <w:tcPr>
            <w:tcW w:w="180" w:type="dxa"/>
            <w:tcMar>
              <w:top w:w="0" w:type="dxa"/>
              <w:left w:w="0" w:type="dxa"/>
              <w:bottom w:w="0" w:type="dxa"/>
              <w:right w:w="0" w:type="dxa"/>
            </w:tcMar>
          </w:tcPr>
          <w:p w14:paraId="1828D7BB" w14:textId="77777777" w:rsidR="003A28B8" w:rsidRDefault="003A28B8"/>
        </w:tc>
        <w:tc>
          <w:tcPr>
            <w:tcW w:w="3240" w:type="dxa"/>
            <w:tcMar>
              <w:top w:w="0" w:type="dxa"/>
              <w:left w:w="0" w:type="dxa"/>
              <w:bottom w:w="0" w:type="dxa"/>
              <w:right w:w="0" w:type="dxa"/>
            </w:tcMar>
          </w:tcPr>
          <w:p w14:paraId="71E8E916" w14:textId="25605B48" w:rsidR="003A28B8" w:rsidRDefault="003A28B8"/>
        </w:tc>
        <w:tc>
          <w:tcPr>
            <w:tcW w:w="180" w:type="dxa"/>
            <w:tcMar>
              <w:top w:w="0" w:type="dxa"/>
              <w:left w:w="0" w:type="dxa"/>
              <w:bottom w:w="0" w:type="dxa"/>
              <w:right w:w="0" w:type="dxa"/>
            </w:tcMar>
          </w:tcPr>
          <w:p w14:paraId="0F42EE20" w14:textId="77777777" w:rsidR="003A28B8" w:rsidRDefault="003A28B8"/>
        </w:tc>
        <w:tc>
          <w:tcPr>
            <w:tcW w:w="3240" w:type="dxa"/>
            <w:tcMar>
              <w:top w:w="0" w:type="dxa"/>
              <w:left w:w="0" w:type="dxa"/>
              <w:bottom w:w="0" w:type="dxa"/>
              <w:right w:w="0" w:type="dxa"/>
            </w:tcMar>
          </w:tcPr>
          <w:p w14:paraId="15B6024B" w14:textId="32DEB8B2" w:rsidR="003A28B8" w:rsidRDefault="003A28B8"/>
        </w:tc>
      </w:tr>
    </w:tbl>
    <w:p w14:paraId="6874FD0B" w14:textId="77777777" w:rsidR="003A28B8" w:rsidRDefault="003A28B8">
      <w:pPr>
        <w:spacing w:after="120"/>
      </w:pPr>
    </w:p>
    <w:p w14:paraId="6B1C78CB" w14:textId="77777777" w:rsidR="003A28B8" w:rsidRDefault="00000000">
      <w:pPr>
        <w:keepNext/>
        <w:pBdr>
          <w:bottom w:val="single" w:sz="8" w:space="0" w:color="1E6B52"/>
        </w:pBdr>
        <w:spacing w:before="220" w:after="90"/>
      </w:pPr>
      <w:r>
        <w:rPr>
          <w:b/>
          <w:bCs/>
          <w:color w:val="1E6B52"/>
          <w:spacing w:val="40"/>
        </w:rPr>
        <w:t>BIOGRAPHY</w:t>
      </w:r>
    </w:p>
    <w:p w14:paraId="3E5306DF" w14:textId="77777777" w:rsidR="003A28B8" w:rsidRDefault="00000000">
      <w:pPr>
        <w:spacing w:after="120" w:line="276" w:lineRule="auto"/>
        <w:jc w:val="both"/>
      </w:pPr>
      <w:r>
        <w:t xml:space="preserve">Nate Lawson is a tenured professor and the Director of the Division of Biomaterials at the University of Alabama at Birmingham School of Dentistry. He graduated from the UAB School of Dentistry in 2011 and completed his PhD in Biomedical Engineering in 2012. He has published more than 100 peer-reviewed articles along with 200 research abstracts and trade articles. He previously served on the ADA Council on Scientific Affairs and currently serves on the editorial boards of the </w:t>
      </w:r>
      <w:r>
        <w:rPr>
          <w:i/>
          <w:iCs/>
        </w:rPr>
        <w:t>Journal of Adhesive Dentistry</w:t>
      </w:r>
      <w:r>
        <w:t xml:space="preserve"> and the </w:t>
      </w:r>
      <w:r>
        <w:rPr>
          <w:i/>
          <w:iCs/>
        </w:rPr>
        <w:t>Journal of Esthetic and Restorative Dentistry</w:t>
      </w:r>
      <w:r>
        <w:t>. He also practices as a general dentist in the UAB Faculty Practice.</w:t>
      </w:r>
    </w:p>
    <w:p w14:paraId="123B6E0F" w14:textId="77777777" w:rsidR="003A28B8" w:rsidRDefault="00000000">
      <w:pPr>
        <w:keepNext/>
        <w:pBdr>
          <w:bottom w:val="single" w:sz="8" w:space="0" w:color="1E6B52"/>
        </w:pBdr>
        <w:spacing w:before="220" w:after="90"/>
      </w:pPr>
      <w:r>
        <w:rPr>
          <w:b/>
          <w:bCs/>
          <w:color w:val="1E6B52"/>
          <w:spacing w:val="40"/>
        </w:rPr>
        <w:t>SPEAKING LOGISTICS</w:t>
      </w:r>
    </w:p>
    <w:p w14:paraId="0CF9EF26" w14:textId="77777777" w:rsidR="003A28B8" w:rsidRDefault="003A28B8">
      <w:pPr>
        <w:spacing w:after="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950"/>
        <w:gridCol w:w="180"/>
        <w:gridCol w:w="4950"/>
      </w:tblGrid>
      <w:tr w:rsidR="003A28B8" w14:paraId="0F7D6B66" w14:textId="77777777">
        <w:tblPrEx>
          <w:tblCellMar>
            <w:top w:w="0" w:type="dxa"/>
            <w:bottom w:w="0" w:type="dxa"/>
          </w:tblCellMar>
        </w:tblPrEx>
        <w:tc>
          <w:tcPr>
            <w:tcW w:w="4950" w:type="dxa"/>
            <w:shd w:val="clear" w:color="auto" w:fill="F2F4F3"/>
            <w:tcMar>
              <w:top w:w="180" w:type="dxa"/>
              <w:left w:w="200" w:type="dxa"/>
              <w:bottom w:w="180" w:type="dxa"/>
              <w:right w:w="200" w:type="dxa"/>
            </w:tcMar>
          </w:tcPr>
          <w:p w14:paraId="6B583308" w14:textId="77777777" w:rsidR="003A28B8" w:rsidRDefault="00000000">
            <w:pPr>
              <w:spacing w:after="110"/>
            </w:pPr>
            <w:r>
              <w:rPr>
                <w:b/>
                <w:bCs/>
                <w:color w:val="1E6B52"/>
                <w:spacing w:val="40"/>
                <w:sz w:val="18"/>
                <w:szCs w:val="18"/>
              </w:rPr>
              <w:t>AUDIOVISUAL REQUIREMENTS</w:t>
            </w:r>
          </w:p>
          <w:p w14:paraId="31AABCE2" w14:textId="77777777" w:rsidR="003A28B8" w:rsidRDefault="00000000">
            <w:pPr>
              <w:spacing w:after="60" w:line="264" w:lineRule="auto"/>
            </w:pPr>
            <w:r>
              <w:rPr>
                <w:b/>
                <w:bCs/>
                <w:sz w:val="19"/>
                <w:szCs w:val="19"/>
              </w:rPr>
              <w:t xml:space="preserve">Computer: </w:t>
            </w:r>
            <w:r>
              <w:rPr>
                <w:color w:val="5A5A5A"/>
                <w:sz w:val="19"/>
                <w:szCs w:val="19"/>
              </w:rPr>
              <w:t>MacBook Pro — speaker brings own laptop; HDMI adapter provided</w:t>
            </w:r>
          </w:p>
          <w:p w14:paraId="7E1CF10E" w14:textId="77777777" w:rsidR="003A28B8" w:rsidRDefault="00000000">
            <w:pPr>
              <w:spacing w:after="60" w:line="264" w:lineRule="auto"/>
            </w:pPr>
            <w:r>
              <w:rPr>
                <w:b/>
                <w:bCs/>
                <w:sz w:val="19"/>
                <w:szCs w:val="19"/>
              </w:rPr>
              <w:t xml:space="preserve">Presentation: </w:t>
            </w:r>
            <w:r>
              <w:rPr>
                <w:color w:val="5A5A5A"/>
                <w:sz w:val="19"/>
                <w:szCs w:val="19"/>
              </w:rPr>
              <w:t>Keynote, 16:9</w:t>
            </w:r>
          </w:p>
          <w:p w14:paraId="3758A6D0" w14:textId="77777777" w:rsidR="003A28B8" w:rsidRDefault="00000000">
            <w:pPr>
              <w:spacing w:after="60" w:line="264" w:lineRule="auto"/>
            </w:pPr>
            <w:r>
              <w:rPr>
                <w:b/>
                <w:bCs/>
                <w:sz w:val="19"/>
                <w:szCs w:val="19"/>
              </w:rPr>
              <w:t xml:space="preserve">Projector / screen: </w:t>
            </w:r>
            <w:r>
              <w:rPr>
                <w:color w:val="5A5A5A"/>
                <w:sz w:val="19"/>
                <w:szCs w:val="19"/>
              </w:rPr>
              <w:t>No specific requirements</w:t>
            </w:r>
          </w:p>
          <w:p w14:paraId="5F0455CC" w14:textId="77777777" w:rsidR="003A28B8" w:rsidRDefault="00000000">
            <w:pPr>
              <w:spacing w:after="60" w:line="264" w:lineRule="auto"/>
            </w:pPr>
            <w:r>
              <w:rPr>
                <w:b/>
                <w:bCs/>
                <w:sz w:val="19"/>
                <w:szCs w:val="19"/>
              </w:rPr>
              <w:t xml:space="preserve">Microphone: </w:t>
            </w:r>
            <w:r>
              <w:rPr>
                <w:color w:val="5A5A5A"/>
                <w:sz w:val="19"/>
                <w:szCs w:val="19"/>
              </w:rPr>
              <w:t>Lavalier preferred; any type acceptable</w:t>
            </w:r>
          </w:p>
        </w:tc>
        <w:tc>
          <w:tcPr>
            <w:tcW w:w="180" w:type="dxa"/>
            <w:tcBorders>
              <w:top w:val="none" w:sz="0" w:space="0" w:color="FFFFFF"/>
              <w:left w:val="none" w:sz="0" w:space="0" w:color="FFFFFF"/>
              <w:bottom w:val="none" w:sz="0" w:space="0" w:color="FFFFFF"/>
              <w:right w:val="none" w:sz="0" w:space="0" w:color="FFFFFF"/>
            </w:tcBorders>
          </w:tcPr>
          <w:p w14:paraId="445C63F4" w14:textId="77777777" w:rsidR="003A28B8" w:rsidRDefault="003A28B8"/>
        </w:tc>
        <w:tc>
          <w:tcPr>
            <w:tcW w:w="4950" w:type="dxa"/>
            <w:shd w:val="clear" w:color="auto" w:fill="F2F4F3"/>
            <w:tcMar>
              <w:top w:w="180" w:type="dxa"/>
              <w:left w:w="200" w:type="dxa"/>
              <w:bottom w:w="180" w:type="dxa"/>
              <w:right w:w="200" w:type="dxa"/>
            </w:tcMar>
          </w:tcPr>
          <w:p w14:paraId="2773503F" w14:textId="77777777" w:rsidR="003A28B8" w:rsidRDefault="00000000">
            <w:pPr>
              <w:spacing w:after="110"/>
            </w:pPr>
            <w:r>
              <w:rPr>
                <w:b/>
                <w:bCs/>
                <w:color w:val="1E6B52"/>
                <w:spacing w:val="40"/>
                <w:sz w:val="18"/>
                <w:szCs w:val="18"/>
              </w:rPr>
              <w:t>HONORARIUM AND TRAVEL</w:t>
            </w:r>
          </w:p>
          <w:p w14:paraId="0DDA5B1B" w14:textId="77777777" w:rsidR="003A28B8" w:rsidRDefault="00000000">
            <w:pPr>
              <w:spacing w:after="60" w:line="264" w:lineRule="auto"/>
            </w:pPr>
            <w:r>
              <w:rPr>
                <w:sz w:val="19"/>
                <w:szCs w:val="19"/>
              </w:rPr>
              <w:t>$7,000</w:t>
            </w:r>
          </w:p>
          <w:p w14:paraId="0CE5C299" w14:textId="77777777" w:rsidR="003A28B8" w:rsidRDefault="00000000">
            <w:pPr>
              <w:spacing w:after="60" w:line="264" w:lineRule="auto"/>
            </w:pPr>
            <w:r>
              <w:rPr>
                <w:sz w:val="19"/>
                <w:szCs w:val="19"/>
              </w:rPr>
              <w:t>Economy airfare</w:t>
            </w:r>
          </w:p>
          <w:p w14:paraId="65672C5D" w14:textId="77777777" w:rsidR="003A28B8" w:rsidRDefault="00000000">
            <w:pPr>
              <w:spacing w:after="60" w:line="264" w:lineRule="auto"/>
            </w:pPr>
            <w:r>
              <w:rPr>
                <w:sz w:val="19"/>
                <w:szCs w:val="19"/>
              </w:rPr>
              <w:t>Hotel accommodation (one night)</w:t>
            </w:r>
          </w:p>
          <w:p w14:paraId="421DE23F" w14:textId="77777777" w:rsidR="003A28B8" w:rsidRDefault="00000000">
            <w:pPr>
              <w:spacing w:after="60" w:line="264" w:lineRule="auto"/>
            </w:pPr>
            <w:r>
              <w:rPr>
                <w:sz w:val="19"/>
                <w:szCs w:val="19"/>
              </w:rPr>
              <w:t>Sponsor contact information available on request.</w:t>
            </w:r>
          </w:p>
        </w:tc>
      </w:tr>
    </w:tbl>
    <w:p w14:paraId="598DD9BB" w14:textId="77777777" w:rsidR="003A28B8" w:rsidRDefault="00000000">
      <w:pPr>
        <w:keepNext/>
        <w:pBdr>
          <w:bottom w:val="single" w:sz="8" w:space="0" w:color="1E6B52"/>
        </w:pBdr>
        <w:spacing w:before="220" w:after="90"/>
      </w:pPr>
      <w:r>
        <w:rPr>
          <w:b/>
          <w:bCs/>
          <w:color w:val="1E6B52"/>
          <w:spacing w:val="40"/>
        </w:rPr>
        <w:t>DISCLOSURE OF COMMERCIAL RELATIONSHIPS</w:t>
      </w:r>
    </w:p>
    <w:p w14:paraId="31E6C52F" w14:textId="77777777" w:rsidR="003A28B8" w:rsidRDefault="00000000">
      <w:pPr>
        <w:keepNext/>
        <w:spacing w:before="100" w:after="40"/>
      </w:pPr>
      <w:r>
        <w:rPr>
          <w:b/>
          <w:bCs/>
          <w:sz w:val="18"/>
          <w:szCs w:val="18"/>
        </w:rPr>
        <w:t>Through my position at UAB, I have received current or previous grant support from:</w:t>
      </w:r>
    </w:p>
    <w:p w14:paraId="7D276547" w14:textId="77777777" w:rsidR="003A28B8" w:rsidRDefault="00000000">
      <w:pPr>
        <w:keepLines/>
        <w:spacing w:after="60" w:line="252" w:lineRule="auto"/>
      </w:pPr>
      <w:proofErr w:type="spellStart"/>
      <w:r>
        <w:rPr>
          <w:color w:val="5A5A5A"/>
          <w:sz w:val="18"/>
          <w:szCs w:val="18"/>
        </w:rPr>
        <w:t>Solventum</w:t>
      </w:r>
      <w:proofErr w:type="spellEnd"/>
      <w:r>
        <w:rPr>
          <w:color w:val="5A5A5A"/>
          <w:sz w:val="18"/>
          <w:szCs w:val="18"/>
        </w:rPr>
        <w:t xml:space="preserve"> (3M), Kuraray, Dentsply, </w:t>
      </w:r>
      <w:proofErr w:type="spellStart"/>
      <w:r>
        <w:rPr>
          <w:color w:val="5A5A5A"/>
          <w:sz w:val="18"/>
          <w:szCs w:val="18"/>
        </w:rPr>
        <w:t>Ivoclar</w:t>
      </w:r>
      <w:proofErr w:type="spellEnd"/>
      <w:r>
        <w:rPr>
          <w:color w:val="5A5A5A"/>
          <w:sz w:val="18"/>
          <w:szCs w:val="18"/>
        </w:rPr>
        <w:t xml:space="preserve">, DMG, GC, Doxa, Vista, Glidewell, Digital Dental, </w:t>
      </w:r>
      <w:proofErr w:type="spellStart"/>
      <w:r>
        <w:rPr>
          <w:color w:val="5A5A5A"/>
          <w:sz w:val="18"/>
          <w:szCs w:val="18"/>
        </w:rPr>
        <w:t>Pulpdent</w:t>
      </w:r>
      <w:proofErr w:type="spellEnd"/>
      <w:r>
        <w:rPr>
          <w:color w:val="5A5A5A"/>
          <w:sz w:val="18"/>
          <w:szCs w:val="18"/>
        </w:rPr>
        <w:t xml:space="preserve">, Kerr, Microcopy, Bisco, Clinician’s Choice, Premier, Kulzer, Danville, </w:t>
      </w:r>
      <w:proofErr w:type="spellStart"/>
      <w:r>
        <w:rPr>
          <w:color w:val="5A5A5A"/>
          <w:sz w:val="18"/>
          <w:szCs w:val="18"/>
        </w:rPr>
        <w:t>EnvisionTEC</w:t>
      </w:r>
      <w:proofErr w:type="spellEnd"/>
      <w:r>
        <w:rPr>
          <w:color w:val="5A5A5A"/>
          <w:sz w:val="18"/>
          <w:szCs w:val="18"/>
        </w:rPr>
        <w:t xml:space="preserve">, </w:t>
      </w:r>
      <w:proofErr w:type="spellStart"/>
      <w:r>
        <w:rPr>
          <w:color w:val="5A5A5A"/>
          <w:sz w:val="18"/>
          <w:szCs w:val="18"/>
        </w:rPr>
        <w:t>SprintRay</w:t>
      </w:r>
      <w:proofErr w:type="spellEnd"/>
      <w:r>
        <w:rPr>
          <w:color w:val="5A5A5A"/>
          <w:sz w:val="18"/>
          <w:szCs w:val="18"/>
        </w:rPr>
        <w:t>, and Henry Schein.</w:t>
      </w:r>
    </w:p>
    <w:p w14:paraId="6B654063" w14:textId="77777777" w:rsidR="003A28B8" w:rsidRDefault="00000000">
      <w:pPr>
        <w:keepNext/>
        <w:spacing w:before="100" w:after="40"/>
      </w:pPr>
      <w:r>
        <w:rPr>
          <w:b/>
          <w:bCs/>
          <w:sz w:val="18"/>
          <w:szCs w:val="18"/>
        </w:rPr>
        <w:t>Through my speaking, I have received previous honoraria from:</w:t>
      </w:r>
    </w:p>
    <w:p w14:paraId="26640FE0" w14:textId="77777777" w:rsidR="003A28B8" w:rsidRDefault="00000000">
      <w:pPr>
        <w:keepLines/>
        <w:spacing w:after="60" w:line="252" w:lineRule="auto"/>
      </w:pPr>
      <w:proofErr w:type="spellStart"/>
      <w:r>
        <w:rPr>
          <w:color w:val="5A5A5A"/>
          <w:sz w:val="18"/>
          <w:szCs w:val="18"/>
        </w:rPr>
        <w:t>Solventum</w:t>
      </w:r>
      <w:proofErr w:type="spellEnd"/>
      <w:r>
        <w:rPr>
          <w:color w:val="5A5A5A"/>
          <w:sz w:val="18"/>
          <w:szCs w:val="18"/>
        </w:rPr>
        <w:t xml:space="preserve"> (3M), Kuraray, Dentsply, </w:t>
      </w:r>
      <w:proofErr w:type="spellStart"/>
      <w:r>
        <w:rPr>
          <w:color w:val="5A5A5A"/>
          <w:sz w:val="18"/>
          <w:szCs w:val="18"/>
        </w:rPr>
        <w:t>Ivoclar</w:t>
      </w:r>
      <w:proofErr w:type="spellEnd"/>
      <w:r>
        <w:rPr>
          <w:color w:val="5A5A5A"/>
          <w:sz w:val="18"/>
          <w:szCs w:val="18"/>
        </w:rPr>
        <w:t xml:space="preserve">, DMG, GC, Doxa, Vista, </w:t>
      </w:r>
      <w:proofErr w:type="spellStart"/>
      <w:r>
        <w:rPr>
          <w:color w:val="5A5A5A"/>
          <w:sz w:val="18"/>
          <w:szCs w:val="18"/>
        </w:rPr>
        <w:t>Pulpdent</w:t>
      </w:r>
      <w:proofErr w:type="spellEnd"/>
      <w:r>
        <w:rPr>
          <w:color w:val="5A5A5A"/>
          <w:sz w:val="18"/>
          <w:szCs w:val="18"/>
        </w:rPr>
        <w:t>, Kerr, Bisco, Clinician’s Choice, Danville, Dental Savings Club, and Overjet.</w:t>
      </w:r>
    </w:p>
    <w:p w14:paraId="10C4D4B2" w14:textId="77777777" w:rsidR="003A28B8" w:rsidRDefault="00000000">
      <w:pPr>
        <w:keepNext/>
        <w:pBdr>
          <w:bottom w:val="single" w:sz="8" w:space="0" w:color="1E6B52"/>
        </w:pBdr>
        <w:spacing w:before="220" w:after="90"/>
      </w:pPr>
      <w:r>
        <w:rPr>
          <w:b/>
          <w:bCs/>
          <w:color w:val="1E6B52"/>
          <w:spacing w:val="40"/>
        </w:rPr>
        <w:lastRenderedPageBreak/>
        <w:t>COURSE OFFERINGS</w:t>
      </w:r>
    </w:p>
    <w:p w14:paraId="6A205B4C" w14:textId="77777777" w:rsidR="003A28B8" w:rsidRDefault="003A28B8">
      <w:pPr>
        <w:spacing w:after="60"/>
      </w:pPr>
    </w:p>
    <w:p w14:paraId="765B5A02" w14:textId="77777777" w:rsidR="003A28B8" w:rsidRDefault="00000000">
      <w:pPr>
        <w:keepNext/>
        <w:spacing w:before="60" w:after="60"/>
      </w:pPr>
      <w:r>
        <w:rPr>
          <w:noProof/>
        </w:rPr>
        <w:drawing>
          <wp:inline distT="0" distB="0" distL="0" distR="0" wp14:anchorId="307C201A" wp14:editId="24E8412A">
            <wp:extent cx="3619500" cy="2409825"/>
            <wp:effectExtent l="0" t="0" r="0" b="0"/>
            <wp:docPr id="1078435480" name="Picture 107843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619500" cy="2409825"/>
                    </a:xfrm>
                    <a:prstGeom prst="rect">
                      <a:avLst/>
                    </a:prstGeom>
                  </pic:spPr>
                </pic:pic>
              </a:graphicData>
            </a:graphic>
          </wp:inline>
        </w:drawing>
      </w:r>
    </w:p>
    <w:p w14:paraId="2998F20B" w14:textId="77777777" w:rsidR="003A28B8" w:rsidRDefault="00000000">
      <w:pPr>
        <w:keepNext/>
        <w:keepLines/>
        <w:spacing w:before="160" w:after="60"/>
      </w:pPr>
      <w:r>
        <w:rPr>
          <w:rFonts w:ascii="Georgia" w:eastAsia="Georgia" w:hAnsi="Georgia" w:cs="Georgia"/>
          <w:b/>
          <w:bCs/>
          <w:sz w:val="26"/>
          <w:szCs w:val="26"/>
        </w:rPr>
        <w:t>Materials and Techniques to Improve Your Conservative, Adhesive Dentistry</w:t>
      </w:r>
    </w:p>
    <w:p w14:paraId="6B8A5873" w14:textId="77777777" w:rsidR="003A28B8" w:rsidRDefault="00000000">
      <w:pPr>
        <w:keepNext/>
        <w:spacing w:after="40"/>
      </w:pPr>
      <w:r>
        <w:rPr>
          <w:b/>
          <w:bCs/>
          <w:color w:val="1E6B52"/>
          <w:spacing w:val="20"/>
          <w:sz w:val="17"/>
          <w:szCs w:val="17"/>
        </w:rPr>
        <w:t xml:space="preserve">LENGTH  </w:t>
      </w:r>
      <w:r>
        <w:rPr>
          <w:color w:val="5A5A5A"/>
          <w:sz w:val="18"/>
          <w:szCs w:val="18"/>
        </w:rPr>
        <w:t>6 hours — may be delivered as two separate half-day courses</w:t>
      </w:r>
      <w:r>
        <w:rPr>
          <w:color w:val="C8CFCB"/>
          <w:sz w:val="18"/>
          <w:szCs w:val="18"/>
        </w:rPr>
        <w:t xml:space="preserve">    |    </w:t>
      </w:r>
      <w:proofErr w:type="gramStart"/>
      <w:r>
        <w:rPr>
          <w:b/>
          <w:bCs/>
          <w:color w:val="1E6B52"/>
          <w:spacing w:val="20"/>
          <w:sz w:val="17"/>
          <w:szCs w:val="17"/>
        </w:rPr>
        <w:t xml:space="preserve">AUDIENCE  </w:t>
      </w:r>
      <w:r>
        <w:rPr>
          <w:color w:val="5A5A5A"/>
          <w:sz w:val="18"/>
          <w:szCs w:val="18"/>
        </w:rPr>
        <w:t>Dentists</w:t>
      </w:r>
      <w:proofErr w:type="gramEnd"/>
      <w:r>
        <w:rPr>
          <w:color w:val="5A5A5A"/>
          <w:sz w:val="18"/>
          <w:szCs w:val="18"/>
        </w:rPr>
        <w:t>, assistants</w:t>
      </w:r>
    </w:p>
    <w:p w14:paraId="3570266B" w14:textId="77777777" w:rsidR="003A28B8" w:rsidRDefault="00000000">
      <w:pPr>
        <w:spacing w:after="150"/>
      </w:pPr>
      <w:r>
        <w:rPr>
          <w:b/>
          <w:bCs/>
          <w:color w:val="1E6B52"/>
          <w:spacing w:val="20"/>
          <w:sz w:val="17"/>
          <w:szCs w:val="17"/>
        </w:rPr>
        <w:t xml:space="preserve">ALTERNATIVE </w:t>
      </w:r>
      <w:proofErr w:type="gramStart"/>
      <w:r>
        <w:rPr>
          <w:b/>
          <w:bCs/>
          <w:color w:val="1E6B52"/>
          <w:spacing w:val="20"/>
          <w:sz w:val="17"/>
          <w:szCs w:val="17"/>
        </w:rPr>
        <w:t xml:space="preserve">TITLE  </w:t>
      </w:r>
      <w:r>
        <w:rPr>
          <w:i/>
          <w:iCs/>
          <w:color w:val="5A5A5A"/>
          <w:sz w:val="18"/>
          <w:szCs w:val="18"/>
        </w:rPr>
        <w:t>Update</w:t>
      </w:r>
      <w:proofErr w:type="gramEnd"/>
      <w:r>
        <w:rPr>
          <w:i/>
          <w:iCs/>
          <w:color w:val="5A5A5A"/>
          <w:sz w:val="18"/>
          <w:szCs w:val="18"/>
        </w:rPr>
        <w:t xml:space="preserve"> to Dental Materials</w:t>
      </w:r>
    </w:p>
    <w:p w14:paraId="2A7EAD6A" w14:textId="77777777" w:rsidR="003A28B8" w:rsidRDefault="00000000">
      <w:pPr>
        <w:spacing w:after="120" w:line="276" w:lineRule="auto"/>
        <w:jc w:val="both"/>
      </w:pPr>
      <w:r>
        <w:t xml:space="preserve">Conservative dentistry aims to remove as little tooth structure as possible during restorative procedures </w:t>
      </w:r>
      <w:proofErr w:type="gramStart"/>
      <w:r>
        <w:t>in order to</w:t>
      </w:r>
      <w:proofErr w:type="gramEnd"/>
      <w:r>
        <w:t xml:space="preserve"> extend the lifetime of each tooth, and adhesive dentistry is what makes this possible. Bonding to tooth structure allows minimally invasive preparations to be performed predictably. This course discusses conservative treatment options together with the materials and techniques used to deliver them. For direct restorations, it reviews diagnosis, isolation, caries removal, cavity preparation, liner selection, matrix and wedge placement, bonding technique, composite placement, and finishing and polishing. For indirect restorations, it covers the selection, handling, and bonding of contemporary dental ceramics. The presentation draws on current evidence generated at the UAB School of Dentistry alongside the wider literature, with an emphasis throughout on findings that can be applied directly in the dental clinic.</w:t>
      </w:r>
    </w:p>
    <w:p w14:paraId="58CF8D7A" w14:textId="77777777" w:rsidR="003A28B8" w:rsidRDefault="00000000">
      <w:pPr>
        <w:keepNext/>
        <w:spacing w:before="100" w:after="60"/>
      </w:pPr>
      <w:r>
        <w:rPr>
          <w:b/>
          <w:bCs/>
          <w:color w:val="1E6B52"/>
          <w:spacing w:val="30"/>
          <w:sz w:val="18"/>
          <w:szCs w:val="18"/>
        </w:rPr>
        <w:t>Course objectives</w:t>
      </w:r>
    </w:p>
    <w:p w14:paraId="2D737696" w14:textId="77777777" w:rsidR="003A28B8" w:rsidRDefault="00000000">
      <w:pPr>
        <w:pStyle w:val="ListParagraph"/>
        <w:numPr>
          <w:ilvl w:val="0"/>
          <w:numId w:val="2"/>
        </w:numPr>
        <w:spacing w:after="50" w:line="264" w:lineRule="auto"/>
      </w:pPr>
      <w:r>
        <w:rPr>
          <w:sz w:val="19"/>
          <w:szCs w:val="19"/>
        </w:rPr>
        <w:t xml:space="preserve">Learn bonding protocols for lithium disilicate </w:t>
      </w:r>
      <w:proofErr w:type="spellStart"/>
      <w:r>
        <w:rPr>
          <w:sz w:val="19"/>
          <w:szCs w:val="19"/>
        </w:rPr>
        <w:t>onlays</w:t>
      </w:r>
      <w:proofErr w:type="spellEnd"/>
      <w:r>
        <w:rPr>
          <w:sz w:val="19"/>
          <w:szCs w:val="19"/>
        </w:rPr>
        <w:t xml:space="preserve"> and zirconia resin-bonded bridges</w:t>
      </w:r>
    </w:p>
    <w:p w14:paraId="4199163C" w14:textId="77777777" w:rsidR="003A28B8" w:rsidRDefault="00000000">
      <w:pPr>
        <w:pStyle w:val="ListParagraph"/>
        <w:numPr>
          <w:ilvl w:val="0"/>
          <w:numId w:val="2"/>
        </w:numPr>
        <w:spacing w:after="50" w:line="264" w:lineRule="auto"/>
      </w:pPr>
      <w:r>
        <w:rPr>
          <w:sz w:val="19"/>
          <w:szCs w:val="19"/>
        </w:rPr>
        <w:t>Learn cementation and bonding protocols for zirconia crowns with self-adhesive or RMGI cements</w:t>
      </w:r>
    </w:p>
    <w:p w14:paraId="28F6C90D" w14:textId="77777777" w:rsidR="003A28B8" w:rsidRDefault="00000000">
      <w:pPr>
        <w:pStyle w:val="ListParagraph"/>
        <w:numPr>
          <w:ilvl w:val="0"/>
          <w:numId w:val="2"/>
        </w:numPr>
        <w:spacing w:after="50" w:line="264" w:lineRule="auto"/>
      </w:pPr>
      <w:r>
        <w:rPr>
          <w:sz w:val="19"/>
          <w:szCs w:val="19"/>
        </w:rPr>
        <w:t>Discuss design considerations for posterior and anterior bridges</w:t>
      </w:r>
    </w:p>
    <w:p w14:paraId="1E8BB59E" w14:textId="77777777" w:rsidR="003A28B8" w:rsidRDefault="00000000">
      <w:pPr>
        <w:pStyle w:val="ListParagraph"/>
        <w:numPr>
          <w:ilvl w:val="0"/>
          <w:numId w:val="2"/>
        </w:numPr>
        <w:spacing w:after="50" w:line="264" w:lineRule="auto"/>
      </w:pPr>
      <w:r>
        <w:rPr>
          <w:sz w:val="19"/>
          <w:szCs w:val="19"/>
        </w:rPr>
        <w:t>Discuss thresholds for operative treatment of incipient carious lesions and the management of deep caries</w:t>
      </w:r>
    </w:p>
    <w:p w14:paraId="70C32338" w14:textId="77777777" w:rsidR="003A28B8" w:rsidRDefault="00000000">
      <w:pPr>
        <w:pStyle w:val="ListParagraph"/>
        <w:numPr>
          <w:ilvl w:val="0"/>
          <w:numId w:val="2"/>
        </w:numPr>
        <w:spacing w:after="50" w:line="264" w:lineRule="auto"/>
      </w:pPr>
      <w:r>
        <w:rPr>
          <w:sz w:val="19"/>
          <w:szCs w:val="19"/>
        </w:rPr>
        <w:t>Review the research on adhesive system selection for direct composites</w:t>
      </w:r>
    </w:p>
    <w:p w14:paraId="092B1DB9" w14:textId="77777777" w:rsidR="003A28B8" w:rsidRDefault="00000000">
      <w:pPr>
        <w:pStyle w:val="ListParagraph"/>
        <w:numPr>
          <w:ilvl w:val="0"/>
          <w:numId w:val="2"/>
        </w:numPr>
        <w:spacing w:after="50" w:line="264" w:lineRule="auto"/>
      </w:pPr>
      <w:r>
        <w:rPr>
          <w:sz w:val="19"/>
          <w:szCs w:val="19"/>
        </w:rPr>
        <w:t>Learn new materials and techniques for Class II restorations</w:t>
      </w:r>
    </w:p>
    <w:p w14:paraId="561FF7C8" w14:textId="77777777" w:rsidR="003A28B8" w:rsidRDefault="00000000">
      <w:pPr>
        <w:pStyle w:val="ListParagraph"/>
        <w:numPr>
          <w:ilvl w:val="0"/>
          <w:numId w:val="2"/>
        </w:numPr>
        <w:spacing w:after="50" w:line="264" w:lineRule="auto"/>
      </w:pPr>
      <w:r>
        <w:rPr>
          <w:sz w:val="19"/>
          <w:szCs w:val="19"/>
        </w:rPr>
        <w:t>Review the materials and evidence for composite adjustment and polishing techniques</w:t>
      </w:r>
    </w:p>
    <w:p w14:paraId="237188A1" w14:textId="77777777" w:rsidR="003A28B8" w:rsidRDefault="003A28B8">
      <w:pPr>
        <w:spacing w:after="160"/>
      </w:pPr>
    </w:p>
    <w:p w14:paraId="55933B37" w14:textId="77777777" w:rsidR="003A28B8" w:rsidRDefault="00000000">
      <w:pPr>
        <w:keepNext/>
        <w:spacing w:before="60" w:after="60"/>
      </w:pPr>
      <w:r>
        <w:rPr>
          <w:noProof/>
        </w:rPr>
        <w:lastRenderedPageBreak/>
        <w:drawing>
          <wp:inline distT="0" distB="0" distL="0" distR="0" wp14:anchorId="7D18B92D" wp14:editId="3884FA25">
            <wp:extent cx="3619500" cy="2409825"/>
            <wp:effectExtent l="0" t="0" r="0" b="0"/>
            <wp:docPr id="1838000389" name="Picture 18380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619500" cy="2409825"/>
                    </a:xfrm>
                    <a:prstGeom prst="rect">
                      <a:avLst/>
                    </a:prstGeom>
                  </pic:spPr>
                </pic:pic>
              </a:graphicData>
            </a:graphic>
          </wp:inline>
        </w:drawing>
      </w:r>
    </w:p>
    <w:p w14:paraId="0C5385B3" w14:textId="77777777" w:rsidR="003A28B8" w:rsidRDefault="00000000">
      <w:pPr>
        <w:keepNext/>
        <w:keepLines/>
        <w:spacing w:before="160" w:after="60"/>
      </w:pPr>
      <w:r>
        <w:rPr>
          <w:rFonts w:ascii="Georgia" w:eastAsia="Georgia" w:hAnsi="Georgia" w:cs="Georgia"/>
          <w:b/>
          <w:bCs/>
          <w:sz w:val="26"/>
          <w:szCs w:val="26"/>
        </w:rPr>
        <w:t>Treatment of the High Caries Risk Patient</w:t>
      </w:r>
    </w:p>
    <w:p w14:paraId="7B3CD9E6" w14:textId="77777777" w:rsidR="003A28B8" w:rsidRDefault="00000000">
      <w:pPr>
        <w:keepNext/>
        <w:spacing w:after="40"/>
      </w:pPr>
      <w:r>
        <w:rPr>
          <w:b/>
          <w:bCs/>
          <w:color w:val="1E6B52"/>
          <w:spacing w:val="20"/>
          <w:sz w:val="17"/>
          <w:szCs w:val="17"/>
        </w:rPr>
        <w:t xml:space="preserve">LENGTH  </w:t>
      </w:r>
      <w:r>
        <w:rPr>
          <w:color w:val="5A5A5A"/>
          <w:sz w:val="18"/>
          <w:szCs w:val="18"/>
        </w:rPr>
        <w:t>3 hours — may be shortened or expanded</w:t>
      </w:r>
      <w:r>
        <w:rPr>
          <w:color w:val="C8CFCB"/>
          <w:sz w:val="18"/>
          <w:szCs w:val="18"/>
        </w:rPr>
        <w:t xml:space="preserve">    |    </w:t>
      </w:r>
      <w:proofErr w:type="gramStart"/>
      <w:r>
        <w:rPr>
          <w:b/>
          <w:bCs/>
          <w:color w:val="1E6B52"/>
          <w:spacing w:val="20"/>
          <w:sz w:val="17"/>
          <w:szCs w:val="17"/>
        </w:rPr>
        <w:t xml:space="preserve">AUDIENCE  </w:t>
      </w:r>
      <w:r>
        <w:rPr>
          <w:color w:val="5A5A5A"/>
          <w:sz w:val="18"/>
          <w:szCs w:val="18"/>
        </w:rPr>
        <w:t>Dentists</w:t>
      </w:r>
      <w:proofErr w:type="gramEnd"/>
      <w:r>
        <w:rPr>
          <w:color w:val="5A5A5A"/>
          <w:sz w:val="18"/>
          <w:szCs w:val="18"/>
        </w:rPr>
        <w:t>, assistants, hygienists</w:t>
      </w:r>
    </w:p>
    <w:p w14:paraId="68803D65" w14:textId="77777777" w:rsidR="003A28B8" w:rsidRDefault="00000000">
      <w:pPr>
        <w:spacing w:after="150"/>
      </w:pPr>
      <w:r>
        <w:rPr>
          <w:b/>
          <w:bCs/>
          <w:color w:val="1E6B52"/>
          <w:spacing w:val="20"/>
          <w:sz w:val="17"/>
          <w:szCs w:val="17"/>
        </w:rPr>
        <w:t xml:space="preserve">ALTERNATIVE </w:t>
      </w:r>
      <w:proofErr w:type="gramStart"/>
      <w:r>
        <w:rPr>
          <w:b/>
          <w:bCs/>
          <w:color w:val="1E6B52"/>
          <w:spacing w:val="20"/>
          <w:sz w:val="17"/>
          <w:szCs w:val="17"/>
        </w:rPr>
        <w:t xml:space="preserve">TITLE  </w:t>
      </w:r>
      <w:r>
        <w:rPr>
          <w:i/>
          <w:iCs/>
          <w:color w:val="5A5A5A"/>
          <w:sz w:val="18"/>
          <w:szCs w:val="18"/>
        </w:rPr>
        <w:t>Caries</w:t>
      </w:r>
      <w:proofErr w:type="gramEnd"/>
      <w:r>
        <w:rPr>
          <w:i/>
          <w:iCs/>
          <w:color w:val="5A5A5A"/>
          <w:sz w:val="18"/>
          <w:szCs w:val="18"/>
        </w:rPr>
        <w:t>-Free Menu</w:t>
      </w:r>
    </w:p>
    <w:p w14:paraId="1AC03AD0" w14:textId="77777777" w:rsidR="003A28B8" w:rsidRDefault="00000000">
      <w:pPr>
        <w:spacing w:after="120" w:line="276" w:lineRule="auto"/>
        <w:jc w:val="both"/>
      </w:pPr>
      <w:r>
        <w:t>This lecture covers the diagnosis of caries lesions and provides guidance on appropriate thresholds for intervention. An evidence-based framework for developing an individualized prevention plan is outlined, addressing diet, hygiene, salivary flow, the oral microbiome, and pH control. The evidence for xylitol, hydroxyapatite toothpaste, antibacterials, probiotics, and other preventive agents is reviewed.</w:t>
      </w:r>
    </w:p>
    <w:p w14:paraId="5B9CFF59" w14:textId="77777777" w:rsidR="003A28B8" w:rsidRDefault="00000000">
      <w:pPr>
        <w:keepNext/>
        <w:spacing w:before="100" w:after="60"/>
      </w:pPr>
      <w:r>
        <w:rPr>
          <w:b/>
          <w:bCs/>
          <w:color w:val="1E6B52"/>
          <w:spacing w:val="30"/>
          <w:sz w:val="18"/>
          <w:szCs w:val="18"/>
        </w:rPr>
        <w:t>Course objectives</w:t>
      </w:r>
    </w:p>
    <w:p w14:paraId="30FCE59B" w14:textId="77777777" w:rsidR="003A28B8" w:rsidRDefault="00000000">
      <w:pPr>
        <w:pStyle w:val="ListParagraph"/>
        <w:numPr>
          <w:ilvl w:val="0"/>
          <w:numId w:val="3"/>
        </w:numPr>
        <w:spacing w:after="50" w:line="264" w:lineRule="auto"/>
      </w:pPr>
      <w:r>
        <w:rPr>
          <w:sz w:val="19"/>
          <w:szCs w:val="19"/>
        </w:rPr>
        <w:t>Learn the current evidence for caries initiation thresholds</w:t>
      </w:r>
    </w:p>
    <w:p w14:paraId="710130D7" w14:textId="77777777" w:rsidR="003A28B8" w:rsidRDefault="00000000">
      <w:pPr>
        <w:pStyle w:val="ListParagraph"/>
        <w:numPr>
          <w:ilvl w:val="0"/>
          <w:numId w:val="3"/>
        </w:numPr>
        <w:spacing w:after="50" w:line="264" w:lineRule="auto"/>
      </w:pPr>
      <w:r>
        <w:rPr>
          <w:sz w:val="19"/>
          <w:szCs w:val="19"/>
        </w:rPr>
        <w:t>Identify risk factors for high caries risk patients and learn specific treatments</w:t>
      </w:r>
    </w:p>
    <w:p w14:paraId="55BB9786" w14:textId="77777777" w:rsidR="003A28B8" w:rsidRDefault="00000000">
      <w:pPr>
        <w:pStyle w:val="ListParagraph"/>
        <w:numPr>
          <w:ilvl w:val="0"/>
          <w:numId w:val="3"/>
        </w:numPr>
        <w:spacing w:after="50" w:line="264" w:lineRule="auto"/>
      </w:pPr>
      <w:r>
        <w:rPr>
          <w:sz w:val="19"/>
          <w:szCs w:val="19"/>
        </w:rPr>
        <w:t>Understand the evidence supporting various caries prevention products</w:t>
      </w:r>
    </w:p>
    <w:p w14:paraId="18B0CD6B" w14:textId="77777777" w:rsidR="003A28B8" w:rsidRDefault="003A28B8">
      <w:pPr>
        <w:spacing w:after="160"/>
      </w:pPr>
    </w:p>
    <w:p w14:paraId="51C53E43" w14:textId="77777777" w:rsidR="003A28B8" w:rsidRDefault="00000000">
      <w:pPr>
        <w:keepNext/>
        <w:spacing w:before="60" w:after="60"/>
      </w:pPr>
      <w:r>
        <w:rPr>
          <w:noProof/>
        </w:rPr>
        <w:drawing>
          <wp:inline distT="0" distB="0" distL="0" distR="0" wp14:anchorId="607D2E96" wp14:editId="3D7125D5">
            <wp:extent cx="3619500" cy="2409825"/>
            <wp:effectExtent l="0" t="0" r="0" b="0"/>
            <wp:docPr id="1653584551" name="Picture 165358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619500" cy="2409825"/>
                    </a:xfrm>
                    <a:prstGeom prst="rect">
                      <a:avLst/>
                    </a:prstGeom>
                  </pic:spPr>
                </pic:pic>
              </a:graphicData>
            </a:graphic>
          </wp:inline>
        </w:drawing>
      </w:r>
    </w:p>
    <w:p w14:paraId="16F2799E" w14:textId="77777777" w:rsidR="003A28B8" w:rsidRDefault="00000000">
      <w:pPr>
        <w:keepNext/>
        <w:keepLines/>
        <w:spacing w:before="160" w:after="60"/>
      </w:pPr>
      <w:r>
        <w:rPr>
          <w:rFonts w:ascii="Georgia" w:eastAsia="Georgia" w:hAnsi="Georgia" w:cs="Georgia"/>
          <w:b/>
          <w:bCs/>
          <w:sz w:val="26"/>
          <w:szCs w:val="26"/>
        </w:rPr>
        <w:t>A Guide to Treating Anterior Discolorations</w:t>
      </w:r>
    </w:p>
    <w:p w14:paraId="6F305DBD" w14:textId="77777777" w:rsidR="003A28B8" w:rsidRDefault="00000000">
      <w:pPr>
        <w:keepNext/>
        <w:spacing w:after="40"/>
      </w:pPr>
      <w:r>
        <w:rPr>
          <w:b/>
          <w:bCs/>
          <w:color w:val="1E6B52"/>
          <w:spacing w:val="20"/>
          <w:sz w:val="17"/>
          <w:szCs w:val="17"/>
        </w:rPr>
        <w:t xml:space="preserve">LENGTH  </w:t>
      </w:r>
      <w:r>
        <w:rPr>
          <w:color w:val="5A5A5A"/>
          <w:sz w:val="18"/>
          <w:szCs w:val="18"/>
        </w:rPr>
        <w:t>3 hours — may be shortened or expanded</w:t>
      </w:r>
      <w:r>
        <w:rPr>
          <w:color w:val="C8CFCB"/>
          <w:sz w:val="18"/>
          <w:szCs w:val="18"/>
        </w:rPr>
        <w:t xml:space="preserve">    |    </w:t>
      </w:r>
      <w:proofErr w:type="gramStart"/>
      <w:r>
        <w:rPr>
          <w:b/>
          <w:bCs/>
          <w:color w:val="1E6B52"/>
          <w:spacing w:val="20"/>
          <w:sz w:val="17"/>
          <w:szCs w:val="17"/>
        </w:rPr>
        <w:t xml:space="preserve">AUDIENCE  </w:t>
      </w:r>
      <w:r>
        <w:rPr>
          <w:color w:val="5A5A5A"/>
          <w:sz w:val="18"/>
          <w:szCs w:val="18"/>
        </w:rPr>
        <w:t>Dentists</w:t>
      </w:r>
      <w:proofErr w:type="gramEnd"/>
      <w:r>
        <w:rPr>
          <w:color w:val="5A5A5A"/>
          <w:sz w:val="18"/>
          <w:szCs w:val="18"/>
        </w:rPr>
        <w:t>, assistants, hygienists</w:t>
      </w:r>
    </w:p>
    <w:p w14:paraId="2D891678" w14:textId="77777777" w:rsidR="003A28B8" w:rsidRDefault="00000000">
      <w:pPr>
        <w:spacing w:after="150"/>
      </w:pPr>
      <w:r>
        <w:rPr>
          <w:b/>
          <w:bCs/>
          <w:color w:val="1E6B52"/>
          <w:spacing w:val="20"/>
          <w:sz w:val="17"/>
          <w:szCs w:val="17"/>
        </w:rPr>
        <w:t xml:space="preserve">ALTERNATIVE </w:t>
      </w:r>
      <w:proofErr w:type="gramStart"/>
      <w:r>
        <w:rPr>
          <w:b/>
          <w:bCs/>
          <w:color w:val="1E6B52"/>
          <w:spacing w:val="20"/>
          <w:sz w:val="17"/>
          <w:szCs w:val="17"/>
        </w:rPr>
        <w:t xml:space="preserve">TITLE  </w:t>
      </w:r>
      <w:r>
        <w:rPr>
          <w:i/>
          <w:iCs/>
          <w:color w:val="5A5A5A"/>
          <w:sz w:val="18"/>
          <w:szCs w:val="18"/>
        </w:rPr>
        <w:t>Resin</w:t>
      </w:r>
      <w:proofErr w:type="gramEnd"/>
      <w:r>
        <w:rPr>
          <w:i/>
          <w:iCs/>
          <w:color w:val="5A5A5A"/>
          <w:sz w:val="18"/>
          <w:szCs w:val="18"/>
        </w:rPr>
        <w:t xml:space="preserve"> Infiltration and </w:t>
      </w:r>
      <w:proofErr w:type="spellStart"/>
      <w:r>
        <w:rPr>
          <w:i/>
          <w:iCs/>
          <w:color w:val="5A5A5A"/>
          <w:sz w:val="18"/>
          <w:szCs w:val="18"/>
        </w:rPr>
        <w:t>Microabrasion</w:t>
      </w:r>
      <w:proofErr w:type="spellEnd"/>
    </w:p>
    <w:p w14:paraId="7F2FC857" w14:textId="77777777" w:rsidR="003A28B8" w:rsidRDefault="00000000">
      <w:pPr>
        <w:spacing w:after="120" w:line="276" w:lineRule="auto"/>
        <w:jc w:val="both"/>
      </w:pPr>
      <w:r>
        <w:t xml:space="preserve">Once you start looking for them, it is surprising how many patients present with surface and sub-surface enamel discolorations. Many of these patients would welcome treatment if offered an option more conservative than veneers or composite bonding. Two such options exist: </w:t>
      </w:r>
      <w:proofErr w:type="spellStart"/>
      <w:r>
        <w:t>microabrasion</w:t>
      </w:r>
      <w:proofErr w:type="spellEnd"/>
      <w:r>
        <w:t xml:space="preserve">, which removes up to 100 microns of the outer enamel layer, and </w:t>
      </w:r>
      <w:r>
        <w:lastRenderedPageBreak/>
        <w:t>resin infiltration, which removes a portion of the outer enamel and infiltrates an unfilled resin into the resulting space. Although both techniques are straightforward to perform, there are practical considerations that determine whether lesions are correctly diagnosed and optimally treated.</w:t>
      </w:r>
    </w:p>
    <w:p w14:paraId="6725AE22" w14:textId="77777777" w:rsidR="003A28B8" w:rsidRDefault="00000000">
      <w:pPr>
        <w:keepNext/>
        <w:spacing w:before="100" w:after="60"/>
      </w:pPr>
      <w:r>
        <w:rPr>
          <w:b/>
          <w:bCs/>
          <w:color w:val="1E6B52"/>
          <w:spacing w:val="30"/>
          <w:sz w:val="18"/>
          <w:szCs w:val="18"/>
        </w:rPr>
        <w:t>Course objectives</w:t>
      </w:r>
    </w:p>
    <w:p w14:paraId="2B964A5C" w14:textId="77777777" w:rsidR="003A28B8" w:rsidRDefault="00000000">
      <w:pPr>
        <w:pStyle w:val="ListParagraph"/>
        <w:numPr>
          <w:ilvl w:val="0"/>
          <w:numId w:val="4"/>
        </w:numPr>
        <w:spacing w:after="50" w:line="264" w:lineRule="auto"/>
      </w:pPr>
      <w:r>
        <w:rPr>
          <w:sz w:val="19"/>
          <w:szCs w:val="19"/>
        </w:rPr>
        <w:t>Learn how to diagnose which enamel discolorations are amenable to microinvasive treatment</w:t>
      </w:r>
    </w:p>
    <w:p w14:paraId="3FAF7680" w14:textId="77777777" w:rsidR="003A28B8" w:rsidRDefault="00000000">
      <w:pPr>
        <w:pStyle w:val="ListParagraph"/>
        <w:numPr>
          <w:ilvl w:val="0"/>
          <w:numId w:val="4"/>
        </w:numPr>
        <w:spacing w:after="50" w:line="264" w:lineRule="auto"/>
      </w:pPr>
      <w:r>
        <w:rPr>
          <w:sz w:val="19"/>
          <w:szCs w:val="19"/>
        </w:rPr>
        <w:t>Become comfortable isolating teeth prior to resin infiltration</w:t>
      </w:r>
    </w:p>
    <w:p w14:paraId="4961E67D" w14:textId="77777777" w:rsidR="003A28B8" w:rsidRDefault="00000000">
      <w:pPr>
        <w:pStyle w:val="ListParagraph"/>
        <w:numPr>
          <w:ilvl w:val="0"/>
          <w:numId w:val="4"/>
        </w:numPr>
        <w:spacing w:after="50" w:line="264" w:lineRule="auto"/>
      </w:pPr>
      <w:r>
        <w:rPr>
          <w:sz w:val="19"/>
          <w:szCs w:val="19"/>
        </w:rPr>
        <w:t>Learn the clinical steps for performing resin infiltration</w:t>
      </w:r>
    </w:p>
    <w:p w14:paraId="4BD42905" w14:textId="77777777" w:rsidR="003A28B8" w:rsidRDefault="003A28B8">
      <w:pPr>
        <w:spacing w:after="160"/>
      </w:pPr>
    </w:p>
    <w:p w14:paraId="253675F7" w14:textId="77777777" w:rsidR="003A28B8" w:rsidRDefault="00000000">
      <w:pPr>
        <w:keepNext/>
        <w:pBdr>
          <w:bottom w:val="single" w:sz="8" w:space="0" w:color="1E6B52"/>
        </w:pBdr>
        <w:spacing w:before="220" w:after="90"/>
      </w:pPr>
      <w:r>
        <w:rPr>
          <w:b/>
          <w:bCs/>
          <w:color w:val="1E6B52"/>
          <w:spacing w:val="40"/>
        </w:rPr>
        <w:t>HALF-DAY FORMATS</w:t>
      </w:r>
    </w:p>
    <w:p w14:paraId="355853B5" w14:textId="77777777" w:rsidR="003A28B8" w:rsidRDefault="00000000">
      <w:pPr>
        <w:spacing w:after="180"/>
      </w:pPr>
      <w:r>
        <w:rPr>
          <w:i/>
          <w:iCs/>
          <w:color w:val="5A5A5A"/>
          <w:sz w:val="19"/>
          <w:szCs w:val="19"/>
        </w:rPr>
        <w:t>The six-hour course “Materials and Techniques to Improve Your Conservative, Adhesive Dentistry” may also be delivered as either of the following stand-alone half-day sessions.</w:t>
      </w:r>
    </w:p>
    <w:p w14:paraId="18900B77" w14:textId="77777777" w:rsidR="003A28B8" w:rsidRDefault="00000000">
      <w:pPr>
        <w:keepNext/>
        <w:keepLines/>
        <w:spacing w:before="160" w:after="60"/>
      </w:pPr>
      <w:r>
        <w:rPr>
          <w:rFonts w:ascii="Georgia" w:eastAsia="Georgia" w:hAnsi="Georgia" w:cs="Georgia"/>
          <w:b/>
          <w:bCs/>
          <w:sz w:val="26"/>
          <w:szCs w:val="26"/>
        </w:rPr>
        <w:t>Materials and Techniques for Indirect Restorations</w:t>
      </w:r>
    </w:p>
    <w:p w14:paraId="69149D5C" w14:textId="77777777" w:rsidR="003A28B8" w:rsidRDefault="00000000">
      <w:pPr>
        <w:keepNext/>
        <w:spacing w:after="40"/>
      </w:pPr>
      <w:r>
        <w:rPr>
          <w:b/>
          <w:bCs/>
          <w:color w:val="1E6B52"/>
          <w:spacing w:val="20"/>
          <w:sz w:val="17"/>
          <w:szCs w:val="17"/>
        </w:rPr>
        <w:t xml:space="preserve">LENGTH  </w:t>
      </w:r>
      <w:r>
        <w:rPr>
          <w:color w:val="5A5A5A"/>
          <w:sz w:val="18"/>
          <w:szCs w:val="18"/>
        </w:rPr>
        <w:t>3 hours — may be shortened or expanded</w:t>
      </w:r>
      <w:r>
        <w:rPr>
          <w:color w:val="C8CFCB"/>
          <w:sz w:val="18"/>
          <w:szCs w:val="18"/>
        </w:rPr>
        <w:t xml:space="preserve">    |    </w:t>
      </w:r>
      <w:proofErr w:type="gramStart"/>
      <w:r>
        <w:rPr>
          <w:b/>
          <w:bCs/>
          <w:color w:val="1E6B52"/>
          <w:spacing w:val="20"/>
          <w:sz w:val="17"/>
          <w:szCs w:val="17"/>
        </w:rPr>
        <w:t xml:space="preserve">AUDIENCE  </w:t>
      </w:r>
      <w:r>
        <w:rPr>
          <w:color w:val="5A5A5A"/>
          <w:sz w:val="18"/>
          <w:szCs w:val="18"/>
        </w:rPr>
        <w:t>Dentists</w:t>
      </w:r>
      <w:proofErr w:type="gramEnd"/>
      <w:r>
        <w:rPr>
          <w:color w:val="5A5A5A"/>
          <w:sz w:val="18"/>
          <w:szCs w:val="18"/>
        </w:rPr>
        <w:t>, assistants</w:t>
      </w:r>
    </w:p>
    <w:p w14:paraId="56E5B70D" w14:textId="77777777" w:rsidR="003A28B8" w:rsidRDefault="00000000">
      <w:pPr>
        <w:spacing w:after="150"/>
      </w:pPr>
      <w:r>
        <w:rPr>
          <w:b/>
          <w:bCs/>
          <w:color w:val="1E6B52"/>
          <w:spacing w:val="20"/>
          <w:sz w:val="17"/>
          <w:szCs w:val="17"/>
        </w:rPr>
        <w:t xml:space="preserve">ALTERNATIVE </w:t>
      </w:r>
      <w:proofErr w:type="gramStart"/>
      <w:r>
        <w:rPr>
          <w:b/>
          <w:bCs/>
          <w:color w:val="1E6B52"/>
          <w:spacing w:val="20"/>
          <w:sz w:val="17"/>
          <w:szCs w:val="17"/>
        </w:rPr>
        <w:t xml:space="preserve">TITLE  </w:t>
      </w:r>
      <w:r>
        <w:rPr>
          <w:i/>
          <w:iCs/>
          <w:color w:val="5A5A5A"/>
          <w:sz w:val="18"/>
          <w:szCs w:val="18"/>
        </w:rPr>
        <w:t>Update</w:t>
      </w:r>
      <w:proofErr w:type="gramEnd"/>
      <w:r>
        <w:rPr>
          <w:i/>
          <w:iCs/>
          <w:color w:val="5A5A5A"/>
          <w:sz w:val="18"/>
          <w:szCs w:val="18"/>
        </w:rPr>
        <w:t xml:space="preserve"> to Dental Ceramics</w:t>
      </w:r>
    </w:p>
    <w:p w14:paraId="45AC4564" w14:textId="77777777" w:rsidR="003A28B8" w:rsidRDefault="00000000">
      <w:pPr>
        <w:spacing w:after="120" w:line="276" w:lineRule="auto"/>
        <w:jc w:val="both"/>
      </w:pPr>
      <w:r>
        <w:t>According to a report from one of the largest dental laboratories in the United States, 90% of crowns and bridges are now fabricated from a ceramic material. Ceramics do not handle like metal-based restorations, and improper selection or handling can lead to premature failure. This course teaches how to select and handle the ceramic materials currently used in dentistry, cutting through typical marketing rhetoric. Because bonding these materials allows more conservative tooth preparation, and because the range available is broad — zirconia, lithium disilicate, porcelain, processed composite, and others — determining the correct protocol for each can be confusing. This lecture simplifies the process and provides a protocol applicable to any type of dental ceramic, drawing on research conducted at the UAB School of Dentistry.</w:t>
      </w:r>
    </w:p>
    <w:p w14:paraId="7CEED4BB" w14:textId="77777777" w:rsidR="003A28B8" w:rsidRDefault="00000000">
      <w:pPr>
        <w:keepNext/>
        <w:spacing w:before="100" w:after="60"/>
      </w:pPr>
      <w:r>
        <w:rPr>
          <w:b/>
          <w:bCs/>
          <w:color w:val="1E6B52"/>
          <w:spacing w:val="30"/>
          <w:sz w:val="18"/>
          <w:szCs w:val="18"/>
        </w:rPr>
        <w:t>Course objectives</w:t>
      </w:r>
    </w:p>
    <w:p w14:paraId="71640E1B" w14:textId="77777777" w:rsidR="003A28B8" w:rsidRDefault="00000000">
      <w:pPr>
        <w:pStyle w:val="ListParagraph"/>
        <w:numPr>
          <w:ilvl w:val="0"/>
          <w:numId w:val="5"/>
        </w:numPr>
        <w:spacing w:after="50" w:line="264" w:lineRule="auto"/>
      </w:pPr>
      <w:r>
        <w:rPr>
          <w:sz w:val="19"/>
          <w:szCs w:val="19"/>
        </w:rPr>
        <w:t>Review the different types of dental ceramic materials</w:t>
      </w:r>
    </w:p>
    <w:p w14:paraId="267E0B89" w14:textId="77777777" w:rsidR="003A28B8" w:rsidRDefault="00000000">
      <w:pPr>
        <w:pStyle w:val="ListParagraph"/>
        <w:numPr>
          <w:ilvl w:val="0"/>
          <w:numId w:val="5"/>
        </w:numPr>
        <w:spacing w:after="50" w:line="264" w:lineRule="auto"/>
      </w:pPr>
      <w:r>
        <w:rPr>
          <w:sz w:val="19"/>
          <w:szCs w:val="19"/>
        </w:rPr>
        <w:t>Select an appropriate ceramic material for anterior restorations</w:t>
      </w:r>
    </w:p>
    <w:p w14:paraId="4C8D45A2" w14:textId="77777777" w:rsidR="003A28B8" w:rsidRDefault="00000000">
      <w:pPr>
        <w:pStyle w:val="ListParagraph"/>
        <w:numPr>
          <w:ilvl w:val="0"/>
          <w:numId w:val="5"/>
        </w:numPr>
        <w:spacing w:after="50" w:line="264" w:lineRule="auto"/>
      </w:pPr>
      <w:r>
        <w:rPr>
          <w:sz w:val="19"/>
          <w:szCs w:val="19"/>
        </w:rPr>
        <w:t>Apply preparation and design considerations for posterior crowns and bridges</w:t>
      </w:r>
    </w:p>
    <w:p w14:paraId="62B540E6" w14:textId="77777777" w:rsidR="003A28B8" w:rsidRDefault="00000000">
      <w:pPr>
        <w:pStyle w:val="ListParagraph"/>
        <w:numPr>
          <w:ilvl w:val="0"/>
          <w:numId w:val="5"/>
        </w:numPr>
        <w:spacing w:after="50" w:line="264" w:lineRule="auto"/>
      </w:pPr>
      <w:r>
        <w:rPr>
          <w:sz w:val="19"/>
          <w:szCs w:val="19"/>
        </w:rPr>
        <w:t>Learn strategies to adjust, polish, and section ceramic crowns</w:t>
      </w:r>
    </w:p>
    <w:p w14:paraId="5E87AAB8" w14:textId="77777777" w:rsidR="003A28B8" w:rsidRDefault="00000000">
      <w:pPr>
        <w:pStyle w:val="ListParagraph"/>
        <w:numPr>
          <w:ilvl w:val="0"/>
          <w:numId w:val="5"/>
        </w:numPr>
        <w:spacing w:after="50" w:line="264" w:lineRule="auto"/>
      </w:pPr>
      <w:r>
        <w:rPr>
          <w:sz w:val="19"/>
          <w:szCs w:val="19"/>
        </w:rPr>
        <w:t>Review the indications for bonding dental ceramics</w:t>
      </w:r>
    </w:p>
    <w:p w14:paraId="15AD35A7" w14:textId="77777777" w:rsidR="003A28B8" w:rsidRDefault="00000000">
      <w:pPr>
        <w:pStyle w:val="ListParagraph"/>
        <w:numPr>
          <w:ilvl w:val="0"/>
          <w:numId w:val="5"/>
        </w:numPr>
        <w:spacing w:after="50" w:line="264" w:lineRule="auto"/>
      </w:pPr>
      <w:r>
        <w:rPr>
          <w:sz w:val="19"/>
          <w:szCs w:val="19"/>
        </w:rPr>
        <w:t>Apply a protocol for preparing the ceramic surface</w:t>
      </w:r>
    </w:p>
    <w:p w14:paraId="30F01538" w14:textId="77777777" w:rsidR="003A28B8" w:rsidRDefault="00000000">
      <w:pPr>
        <w:pStyle w:val="ListParagraph"/>
        <w:numPr>
          <w:ilvl w:val="0"/>
          <w:numId w:val="5"/>
        </w:numPr>
        <w:spacing w:after="50" w:line="264" w:lineRule="auto"/>
      </w:pPr>
      <w:r>
        <w:rPr>
          <w:sz w:val="19"/>
          <w:szCs w:val="19"/>
        </w:rPr>
        <w:t>Classify the cements used for adhesive bonding</w:t>
      </w:r>
    </w:p>
    <w:p w14:paraId="056ADF1D" w14:textId="77777777" w:rsidR="003A28B8" w:rsidRDefault="003A28B8">
      <w:pPr>
        <w:spacing w:after="160"/>
      </w:pPr>
    </w:p>
    <w:p w14:paraId="6FFDFFDF" w14:textId="77777777" w:rsidR="003A28B8" w:rsidRDefault="00000000">
      <w:pPr>
        <w:keepNext/>
        <w:keepLines/>
        <w:spacing w:before="160" w:after="60"/>
      </w:pPr>
      <w:r>
        <w:rPr>
          <w:rFonts w:ascii="Georgia" w:eastAsia="Georgia" w:hAnsi="Georgia" w:cs="Georgia"/>
          <w:b/>
          <w:bCs/>
          <w:sz w:val="26"/>
          <w:szCs w:val="26"/>
        </w:rPr>
        <w:t>Materials and Techniques for Direct Restorations</w:t>
      </w:r>
    </w:p>
    <w:p w14:paraId="7E4E11E2" w14:textId="77777777" w:rsidR="003A28B8" w:rsidRDefault="00000000">
      <w:pPr>
        <w:keepNext/>
        <w:spacing w:after="40"/>
      </w:pPr>
      <w:r>
        <w:rPr>
          <w:b/>
          <w:bCs/>
          <w:color w:val="1E6B52"/>
          <w:spacing w:val="20"/>
          <w:sz w:val="17"/>
          <w:szCs w:val="17"/>
        </w:rPr>
        <w:t xml:space="preserve">LENGTH  </w:t>
      </w:r>
      <w:r>
        <w:rPr>
          <w:color w:val="5A5A5A"/>
          <w:sz w:val="18"/>
          <w:szCs w:val="18"/>
        </w:rPr>
        <w:t>3 hours — may be shortened or expanded</w:t>
      </w:r>
      <w:r>
        <w:rPr>
          <w:color w:val="C8CFCB"/>
          <w:sz w:val="18"/>
          <w:szCs w:val="18"/>
        </w:rPr>
        <w:t xml:space="preserve">    |    </w:t>
      </w:r>
      <w:proofErr w:type="gramStart"/>
      <w:r>
        <w:rPr>
          <w:b/>
          <w:bCs/>
          <w:color w:val="1E6B52"/>
          <w:spacing w:val="20"/>
          <w:sz w:val="17"/>
          <w:szCs w:val="17"/>
        </w:rPr>
        <w:t xml:space="preserve">AUDIENCE  </w:t>
      </w:r>
      <w:r>
        <w:rPr>
          <w:color w:val="5A5A5A"/>
          <w:sz w:val="18"/>
          <w:szCs w:val="18"/>
        </w:rPr>
        <w:t>Dentists</w:t>
      </w:r>
      <w:proofErr w:type="gramEnd"/>
      <w:r>
        <w:rPr>
          <w:color w:val="5A5A5A"/>
          <w:sz w:val="18"/>
          <w:szCs w:val="18"/>
        </w:rPr>
        <w:t>, assistants</w:t>
      </w:r>
    </w:p>
    <w:p w14:paraId="1410FF51" w14:textId="77777777" w:rsidR="003A28B8" w:rsidRDefault="00000000">
      <w:pPr>
        <w:spacing w:after="150"/>
      </w:pPr>
      <w:r>
        <w:rPr>
          <w:b/>
          <w:bCs/>
          <w:color w:val="1E6B52"/>
          <w:spacing w:val="20"/>
          <w:sz w:val="17"/>
          <w:szCs w:val="17"/>
        </w:rPr>
        <w:t xml:space="preserve">ALTERNATIVE </w:t>
      </w:r>
      <w:proofErr w:type="gramStart"/>
      <w:r>
        <w:rPr>
          <w:b/>
          <w:bCs/>
          <w:color w:val="1E6B52"/>
          <w:spacing w:val="20"/>
          <w:sz w:val="17"/>
          <w:szCs w:val="17"/>
        </w:rPr>
        <w:t xml:space="preserve">TITLE  </w:t>
      </w:r>
      <w:r>
        <w:rPr>
          <w:i/>
          <w:iCs/>
          <w:color w:val="5A5A5A"/>
          <w:sz w:val="18"/>
          <w:szCs w:val="18"/>
        </w:rPr>
        <w:t>Update</w:t>
      </w:r>
      <w:proofErr w:type="gramEnd"/>
      <w:r>
        <w:rPr>
          <w:i/>
          <w:iCs/>
          <w:color w:val="5A5A5A"/>
          <w:sz w:val="18"/>
          <w:szCs w:val="18"/>
        </w:rPr>
        <w:t xml:space="preserve"> to Direct Composites</w:t>
      </w:r>
    </w:p>
    <w:p w14:paraId="6B1F95C6" w14:textId="77777777" w:rsidR="003A28B8" w:rsidRDefault="00000000">
      <w:pPr>
        <w:spacing w:after="120" w:line="276" w:lineRule="auto"/>
        <w:jc w:val="both"/>
      </w:pPr>
      <w:r>
        <w:t xml:space="preserve">Posterior composite restorations remain the bread-and-butter procedure of many general dentists. Although the procedure may appear routine, a long-lasting restoration depends on numerous clinical factors, including diagnosis, isolation, caries removal, cavity preparation, liner selection, matrix and wedge placement, bonding technique, composite placement, and finishing and polishing. This course reviews the technique for each of these steps </w:t>
      </w:r>
      <w:proofErr w:type="gramStart"/>
      <w:r>
        <w:t>in light of</w:t>
      </w:r>
      <w:proofErr w:type="gramEnd"/>
      <w:r>
        <w:t xml:space="preserve"> current evidence.</w:t>
      </w:r>
    </w:p>
    <w:p w14:paraId="35C1B47B" w14:textId="77777777" w:rsidR="003A28B8" w:rsidRDefault="00000000">
      <w:pPr>
        <w:keepNext/>
        <w:spacing w:before="100" w:after="60"/>
      </w:pPr>
      <w:r>
        <w:rPr>
          <w:b/>
          <w:bCs/>
          <w:color w:val="1E6B52"/>
          <w:spacing w:val="30"/>
          <w:sz w:val="18"/>
          <w:szCs w:val="18"/>
        </w:rPr>
        <w:t>Course objectives</w:t>
      </w:r>
    </w:p>
    <w:p w14:paraId="6335ADB8" w14:textId="77777777" w:rsidR="003A28B8" w:rsidRDefault="00000000">
      <w:pPr>
        <w:pStyle w:val="ListParagraph"/>
        <w:numPr>
          <w:ilvl w:val="0"/>
          <w:numId w:val="6"/>
        </w:numPr>
        <w:spacing w:after="50" w:line="264" w:lineRule="auto"/>
      </w:pPr>
      <w:r>
        <w:rPr>
          <w:sz w:val="19"/>
          <w:szCs w:val="19"/>
        </w:rPr>
        <w:t>Discuss treatment guidelines for initial caries treatment and caries removal endpoints</w:t>
      </w:r>
    </w:p>
    <w:p w14:paraId="1D566049" w14:textId="77777777" w:rsidR="003A28B8" w:rsidRDefault="00000000">
      <w:pPr>
        <w:pStyle w:val="ListParagraph"/>
        <w:numPr>
          <w:ilvl w:val="0"/>
          <w:numId w:val="6"/>
        </w:numPr>
        <w:spacing w:after="50" w:line="264" w:lineRule="auto"/>
      </w:pPr>
      <w:r>
        <w:rPr>
          <w:sz w:val="19"/>
          <w:szCs w:val="19"/>
        </w:rPr>
        <w:t>Discover materials and techniques that promote a long-lasting adhesive bond and a well-adapted restoration</w:t>
      </w:r>
    </w:p>
    <w:p w14:paraId="15B88E57" w14:textId="77777777" w:rsidR="003A28B8" w:rsidRDefault="00000000">
      <w:pPr>
        <w:pStyle w:val="ListParagraph"/>
        <w:numPr>
          <w:ilvl w:val="0"/>
          <w:numId w:val="6"/>
        </w:numPr>
        <w:spacing w:after="50" w:line="264" w:lineRule="auto"/>
      </w:pPr>
      <w:r>
        <w:rPr>
          <w:sz w:val="19"/>
          <w:szCs w:val="19"/>
        </w:rPr>
        <w:t>Analyze matrix systems and contouring instruments used to achieve a tight, well-contoured contact</w:t>
      </w:r>
    </w:p>
    <w:p w14:paraId="64394D76" w14:textId="77777777" w:rsidR="003A28B8" w:rsidRDefault="003A28B8">
      <w:pPr>
        <w:spacing w:after="160"/>
      </w:pPr>
    </w:p>
    <w:sectPr w:rsidR="003A28B8">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84A1C" w14:textId="77777777" w:rsidR="002C4A15" w:rsidRDefault="002C4A15">
      <w:r>
        <w:separator/>
      </w:r>
    </w:p>
  </w:endnote>
  <w:endnote w:type="continuationSeparator" w:id="0">
    <w:p w14:paraId="1B9CDDF1" w14:textId="77777777" w:rsidR="002C4A15" w:rsidRDefault="002C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8901B" w14:textId="77777777" w:rsidR="003A28B8" w:rsidRDefault="00000000">
    <w:pPr>
      <w:spacing w:before="200"/>
      <w:jc w:val="center"/>
    </w:pPr>
    <w:r>
      <w:rPr>
        <w:color w:val="A0A8A4"/>
        <w:sz w:val="16"/>
        <w:szCs w:val="16"/>
      </w:rPr>
      <w:t xml:space="preserve">Nate Lawson, DMD, PhD    ·    </w:t>
    </w:r>
    <w:r>
      <w:rPr>
        <w:color w:val="A0A8A4"/>
        <w:sz w:val="16"/>
        <w:szCs w:val="16"/>
      </w:rPr>
      <w:fldChar w:fldCharType="begin"/>
    </w:r>
    <w:r>
      <w:rPr>
        <w:color w:val="A0A8A4"/>
        <w:sz w:val="16"/>
        <w:szCs w:val="16"/>
      </w:rPr>
      <w:instrText>PAGE</w:instrText>
    </w:r>
    <w:r>
      <w:rPr>
        <w:color w:val="A0A8A4"/>
        <w:sz w:val="16"/>
        <w:szCs w:val="16"/>
      </w:rPr>
      <w:fldChar w:fldCharType="separate"/>
    </w:r>
    <w:r w:rsidR="008A437F">
      <w:rPr>
        <w:noProof/>
        <w:color w:val="A0A8A4"/>
        <w:sz w:val="16"/>
        <w:szCs w:val="16"/>
      </w:rPr>
      <w:t>1</w:t>
    </w:r>
    <w:r>
      <w:rPr>
        <w:color w:val="A0A8A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E47CD" w14:textId="77777777" w:rsidR="002C4A15" w:rsidRDefault="002C4A15">
      <w:r>
        <w:separator/>
      </w:r>
    </w:p>
  </w:footnote>
  <w:footnote w:type="continuationSeparator" w:id="0">
    <w:p w14:paraId="4F001A52" w14:textId="77777777" w:rsidR="002C4A15" w:rsidRDefault="002C4A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491BFE"/>
    <w:multiLevelType w:val="hybridMultilevel"/>
    <w:tmpl w:val="42D8E57C"/>
    <w:lvl w:ilvl="0" w:tplc="72B61F96">
      <w:start w:val="1"/>
      <w:numFmt w:val="decimal"/>
      <w:lvlText w:val="%1."/>
      <w:lvlJc w:val="left"/>
      <w:pPr>
        <w:ind w:left="360" w:hanging="260"/>
      </w:pPr>
      <w:rPr>
        <w:rFonts w:ascii="Calibri" w:eastAsia="Calibri" w:hAnsi="Calibri" w:cs="Calibri"/>
        <w:b/>
        <w:bCs/>
        <w:color w:val="1E6B52"/>
        <w:sz w:val="19"/>
        <w:szCs w:val="19"/>
      </w:rPr>
    </w:lvl>
    <w:lvl w:ilvl="1" w:tplc="2C9813F0">
      <w:numFmt w:val="decimal"/>
      <w:lvlText w:val=""/>
      <w:lvlJc w:val="left"/>
    </w:lvl>
    <w:lvl w:ilvl="2" w:tplc="4FEA24BA">
      <w:numFmt w:val="decimal"/>
      <w:lvlText w:val=""/>
      <w:lvlJc w:val="left"/>
    </w:lvl>
    <w:lvl w:ilvl="3" w:tplc="3B8A726A">
      <w:numFmt w:val="decimal"/>
      <w:lvlText w:val=""/>
      <w:lvlJc w:val="left"/>
    </w:lvl>
    <w:lvl w:ilvl="4" w:tplc="B72A5AF8">
      <w:numFmt w:val="decimal"/>
      <w:lvlText w:val=""/>
      <w:lvlJc w:val="left"/>
    </w:lvl>
    <w:lvl w:ilvl="5" w:tplc="3F62058A">
      <w:numFmt w:val="decimal"/>
      <w:lvlText w:val=""/>
      <w:lvlJc w:val="left"/>
    </w:lvl>
    <w:lvl w:ilvl="6" w:tplc="EBE0B12E">
      <w:numFmt w:val="decimal"/>
      <w:lvlText w:val=""/>
      <w:lvlJc w:val="left"/>
    </w:lvl>
    <w:lvl w:ilvl="7" w:tplc="C8309302">
      <w:numFmt w:val="decimal"/>
      <w:lvlText w:val=""/>
      <w:lvlJc w:val="left"/>
    </w:lvl>
    <w:lvl w:ilvl="8" w:tplc="5EFA36E8">
      <w:numFmt w:val="decimal"/>
      <w:lvlText w:val=""/>
      <w:lvlJc w:val="left"/>
    </w:lvl>
  </w:abstractNum>
  <w:abstractNum w:abstractNumId="1" w15:restartNumberingAfterBreak="0">
    <w:nsid w:val="748D0B39"/>
    <w:multiLevelType w:val="hybridMultilevel"/>
    <w:tmpl w:val="56C88936"/>
    <w:lvl w:ilvl="0" w:tplc="4AEEE11E">
      <w:start w:val="1"/>
      <w:numFmt w:val="bullet"/>
      <w:lvlText w:val="●"/>
      <w:lvlJc w:val="left"/>
      <w:pPr>
        <w:ind w:left="720" w:hanging="360"/>
      </w:pPr>
    </w:lvl>
    <w:lvl w:ilvl="1" w:tplc="EFBEE532">
      <w:start w:val="1"/>
      <w:numFmt w:val="bullet"/>
      <w:lvlText w:val="○"/>
      <w:lvlJc w:val="left"/>
      <w:pPr>
        <w:ind w:left="1440" w:hanging="360"/>
      </w:pPr>
    </w:lvl>
    <w:lvl w:ilvl="2" w:tplc="578E7466">
      <w:start w:val="1"/>
      <w:numFmt w:val="bullet"/>
      <w:lvlText w:val="■"/>
      <w:lvlJc w:val="left"/>
      <w:pPr>
        <w:ind w:left="2160" w:hanging="360"/>
      </w:pPr>
    </w:lvl>
    <w:lvl w:ilvl="3" w:tplc="ED264CCC">
      <w:start w:val="1"/>
      <w:numFmt w:val="bullet"/>
      <w:lvlText w:val="●"/>
      <w:lvlJc w:val="left"/>
      <w:pPr>
        <w:ind w:left="2880" w:hanging="360"/>
      </w:pPr>
    </w:lvl>
    <w:lvl w:ilvl="4" w:tplc="BAD06E22">
      <w:start w:val="1"/>
      <w:numFmt w:val="bullet"/>
      <w:lvlText w:val="○"/>
      <w:lvlJc w:val="left"/>
      <w:pPr>
        <w:ind w:left="3600" w:hanging="360"/>
      </w:pPr>
    </w:lvl>
    <w:lvl w:ilvl="5" w:tplc="8D509DBC">
      <w:start w:val="1"/>
      <w:numFmt w:val="bullet"/>
      <w:lvlText w:val="■"/>
      <w:lvlJc w:val="left"/>
      <w:pPr>
        <w:ind w:left="4320" w:hanging="360"/>
      </w:pPr>
    </w:lvl>
    <w:lvl w:ilvl="6" w:tplc="D424E762">
      <w:start w:val="1"/>
      <w:numFmt w:val="bullet"/>
      <w:lvlText w:val="●"/>
      <w:lvlJc w:val="left"/>
      <w:pPr>
        <w:ind w:left="5040" w:hanging="360"/>
      </w:pPr>
    </w:lvl>
    <w:lvl w:ilvl="7" w:tplc="5C465530">
      <w:start w:val="1"/>
      <w:numFmt w:val="bullet"/>
      <w:lvlText w:val="●"/>
      <w:lvlJc w:val="left"/>
      <w:pPr>
        <w:ind w:left="5760" w:hanging="360"/>
      </w:pPr>
    </w:lvl>
    <w:lvl w:ilvl="8" w:tplc="6EE012FC">
      <w:start w:val="1"/>
      <w:numFmt w:val="bullet"/>
      <w:lvlText w:val="●"/>
      <w:lvlJc w:val="left"/>
      <w:pPr>
        <w:ind w:left="6480" w:hanging="360"/>
      </w:pPr>
    </w:lvl>
  </w:abstractNum>
  <w:num w:numId="1" w16cid:durableId="922835261">
    <w:abstractNumId w:val="1"/>
    <w:lvlOverride w:ilvl="0">
      <w:startOverride w:val="1"/>
    </w:lvlOverride>
  </w:num>
  <w:num w:numId="2" w16cid:durableId="2075815100">
    <w:abstractNumId w:val="0"/>
    <w:lvlOverride w:ilvl="0">
      <w:startOverride w:val="1"/>
    </w:lvlOverride>
  </w:num>
  <w:num w:numId="3" w16cid:durableId="669021925">
    <w:abstractNumId w:val="0"/>
    <w:lvlOverride w:ilvl="0">
      <w:startOverride w:val="1"/>
    </w:lvlOverride>
  </w:num>
  <w:num w:numId="4" w16cid:durableId="1992052389">
    <w:abstractNumId w:val="0"/>
    <w:lvlOverride w:ilvl="0">
      <w:startOverride w:val="1"/>
    </w:lvlOverride>
  </w:num>
  <w:num w:numId="5" w16cid:durableId="261181412">
    <w:abstractNumId w:val="0"/>
    <w:lvlOverride w:ilvl="0">
      <w:startOverride w:val="1"/>
    </w:lvlOverride>
  </w:num>
  <w:num w:numId="6" w16cid:durableId="10687235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B8"/>
    <w:rsid w:val="002C4A15"/>
    <w:rsid w:val="003A28B8"/>
    <w:rsid w:val="008A437F"/>
    <w:rsid w:val="00E0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6951DA"/>
  <w15:docId w15:val="{5247A76B-B046-B446-8510-3C61352B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Lawson, Nathaniel</cp:lastModifiedBy>
  <cp:revision>2</cp:revision>
  <dcterms:created xsi:type="dcterms:W3CDTF">2026-08-12T10:13:00Z</dcterms:created>
  <dcterms:modified xsi:type="dcterms:W3CDTF">2026-08-12T22:36:00Z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2026-08-12T22:36:53Z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f218305b-f131-4c13-9b3c-4d2d213a0806</vt:lpwstr>
  </property>
  <property fmtid="{D5CDD505-2E9C-101B-9397-08002B2CF9AE}" pid="8" name="MSIP_Label_ae7542bc-63e5-412b-b0a0-d9586028a7d0_ContentBits">
    <vt:lpwstr>0</vt:lpwstr>
  </property>
</Properties>
</file>